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D18D3">
      <w:pPr>
        <w:spacing w:before="480" w:after="480" w:line="288" w:lineRule="auto"/>
        <w:ind w:left="2601" w:hanging="2601" w:hangingChars="500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ascii="Arial" w:hAnsi="Arial" w:eastAsia="等线" w:cs="Arial"/>
          <w:b/>
          <w:sz w:val="52"/>
        </w:rPr>
        <w:t xml:space="preserve"> 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“互联网+医防融合”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赋能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全域社区健康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讲座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服务体系工作案例</w:t>
      </w:r>
    </w:p>
    <w:p w14:paraId="18631F37">
      <w:pPr>
        <w:spacing w:before="120" w:after="120" w:line="288" w:lineRule="auto"/>
        <w:ind w:left="0" w:firstLine="1280" w:firstLineChars="4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heading_0"/>
      <w:bookmarkStart w:id="9" w:name="_GoBack"/>
      <w:bookmarkEnd w:id="9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青岛市黄岛区长江路街道社区卫生服务中心</w:t>
      </w:r>
    </w:p>
    <w:p w14:paraId="7BACC8E7">
      <w:pPr>
        <w:spacing w:before="320" w:after="120" w:line="288" w:lineRule="auto"/>
        <w:ind w:left="0" w:firstLine="643" w:firstLineChars="200"/>
        <w:jc w:val="left"/>
        <w:outlineLvl w:val="1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一、工作背景</w:t>
      </w:r>
      <w:bookmarkEnd w:id="0"/>
    </w:p>
    <w:p w14:paraId="2DDEF318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我中心辖区常住人口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214505人</w:t>
      </w:r>
      <w:r>
        <w:rPr>
          <w:rFonts w:hint="eastAsia" w:ascii="仿宋_GB2312" w:hAnsi="仿宋_GB2312" w:eastAsia="仿宋_GB2312" w:cs="仿宋_GB2312"/>
          <w:sz w:val="32"/>
          <w:szCs w:val="32"/>
        </w:rPr>
        <w:t>，辖区人口基数大、人口结构复杂，老龄化、城镇化带来的健康问题日益凸显。截至目前，辖区重点健康管理人群体量充足，在册慢性病患者数量庞大，其中高血压患者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17646人</w:t>
      </w:r>
      <w:r>
        <w:rPr>
          <w:rFonts w:hint="eastAsia" w:ascii="仿宋_GB2312" w:hAnsi="仿宋_GB2312" w:eastAsia="仿宋_GB2312" w:cs="仿宋_GB2312"/>
          <w:sz w:val="32"/>
          <w:szCs w:val="32"/>
        </w:rPr>
        <w:t>、糖尿病患者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7922人</w:t>
      </w:r>
      <w:r>
        <w:rPr>
          <w:rFonts w:hint="eastAsia" w:ascii="仿宋_GB2312" w:hAnsi="仿宋_GB2312" w:eastAsia="仿宋_GB2312" w:cs="仿宋_GB2312"/>
          <w:sz w:val="32"/>
          <w:szCs w:val="32"/>
        </w:rPr>
        <w:t>、慢阻肺患者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578人</w:t>
      </w:r>
      <w:r>
        <w:rPr>
          <w:rFonts w:hint="eastAsia" w:ascii="仿宋_GB2312" w:hAnsi="仿宋_GB2312" w:eastAsia="仿宋_GB2312" w:cs="仿宋_GB2312"/>
          <w:sz w:val="32"/>
          <w:szCs w:val="32"/>
        </w:rPr>
        <w:t>，另有孕产妇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891人</w:t>
      </w:r>
      <w:r>
        <w:rPr>
          <w:rFonts w:hint="eastAsia" w:ascii="仿宋_GB2312" w:hAnsi="仿宋_GB2312" w:eastAsia="仿宋_GB2312" w:cs="仿宋_GB2312"/>
          <w:sz w:val="32"/>
          <w:szCs w:val="32"/>
        </w:rPr>
        <w:t>、0-6岁儿童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1183人</w:t>
      </w:r>
      <w:r>
        <w:rPr>
          <w:rFonts w:hint="eastAsia" w:ascii="仿宋_GB2312" w:hAnsi="仿宋_GB2312" w:eastAsia="仿宋_GB2312" w:cs="仿宋_GB2312"/>
          <w:sz w:val="32"/>
          <w:szCs w:val="32"/>
        </w:rPr>
        <w:t>，慢病群体、孕产妇、婴幼儿已成为社区健康管理重点群体。同时，辖区居民普遍存在高盐高脂饮食、缺乏运动、吸烟酗酒、作息不规律等健康危险行为，是慢性病高发、病情反复、妇幼健康隐患的核心诱因。</w:t>
      </w:r>
    </w:p>
    <w:p w14:paraId="5242CE35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传统社区健康教育存在宣传形式单一、精准度不足、线上线下脱节、医防工作割裂等问题，针对孕产妇、婴幼儿的专项健康宣教覆盖面窄、专业性不足、服务碎片化，难以满足全人群、差异化、常态化的健康宣教和干预需求。为切实补齐基层健康服务短板，全面提升辖区居民健康素养和自我健康管理能力，自2025年1月起，我中心立足基层医疗卫生服务职能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积极探索</w:t>
      </w:r>
      <w:r>
        <w:rPr>
          <w:rFonts w:hint="eastAsia" w:ascii="仿宋_GB2312" w:hAnsi="仿宋_GB2312" w:eastAsia="仿宋_GB2312" w:cs="仿宋_GB2312"/>
          <w:sz w:val="32"/>
          <w:szCs w:val="32"/>
        </w:rPr>
        <w:t>“互联网+健康教育”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+医防融合创新</w:t>
      </w:r>
      <w:r>
        <w:rPr>
          <w:rFonts w:hint="eastAsia" w:ascii="仿宋_GB2312" w:hAnsi="仿宋_GB2312" w:eastAsia="仿宋_GB2312" w:cs="仿宋_GB2312"/>
          <w:sz w:val="32"/>
          <w:szCs w:val="32"/>
        </w:rPr>
        <w:t>模式，整合慢性病精细化管理、传染病常态化防控、健康危险行为干预、妇幼专项健康宣教、健康文化建设等重点工作，构建全方位、全覆盖、精准化的社区健康教育服务体系，全力打造可复制、可推广的基层健康宣教工作新模式。</w:t>
      </w:r>
    </w:p>
    <w:p w14:paraId="211C76BE">
      <w:pPr>
        <w:spacing w:before="320" w:after="120" w:line="288" w:lineRule="auto"/>
        <w:ind w:left="0" w:firstLine="643" w:firstLineChars="200"/>
        <w:jc w:val="left"/>
        <w:outlineLvl w:val="1"/>
      </w:pPr>
      <w:bookmarkStart w:id="1" w:name="heading_1"/>
      <w:r>
        <w:rPr>
          <w:rFonts w:hint="eastAsia" w:ascii="黑体" w:hAnsi="黑体" w:eastAsia="黑体" w:cs="黑体"/>
          <w:b/>
          <w:sz w:val="32"/>
          <w:szCs w:val="32"/>
        </w:rPr>
        <w:t>二、主要做法</w:t>
      </w:r>
      <w:bookmarkEnd w:id="1"/>
    </w:p>
    <w:p w14:paraId="64431C34">
      <w:pPr>
        <w:spacing w:before="300" w:after="120" w:line="288" w:lineRule="auto"/>
        <w:ind w:left="0" w:firstLine="602" w:firstLineChars="200"/>
        <w:jc w:val="left"/>
        <w:outlineLvl w:val="2"/>
        <w:rPr>
          <w:rFonts w:hint="eastAsia" w:ascii="楷体_GB2312" w:hAnsi="楷体_GB2312" w:eastAsia="楷体_GB2312" w:cs="楷体_GB2312"/>
        </w:rPr>
      </w:pPr>
      <w:bookmarkStart w:id="2" w:name="heading_2"/>
      <w:r>
        <w:rPr>
          <w:rFonts w:hint="eastAsia" w:ascii="楷体_GB2312" w:hAnsi="楷体_GB2312" w:eastAsia="楷体_GB2312" w:cs="楷体_GB2312"/>
          <w:b/>
          <w:sz w:val="30"/>
        </w:rPr>
        <w:t>（一）搭建“互联网+健康教育”矩阵，实现精准化科普宣教</w:t>
      </w:r>
      <w:bookmarkEnd w:id="2"/>
    </w:p>
    <w:p w14:paraId="2053DFE0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针对辖区人口基数大、人群分散的特点，我中心打破传统线下讲座的局限，搭建多渠道、常态化线上健康教育平台，打通健康科普“最后一公里”。一是依托官方公众号、社区居民健康微信群、短视频平台，建立立体化科普宣传矩阵，定期推送高血压、糖尿病、慢阻肺等慢性病防治知识、季节性传染病防控、合理膳食、科学运动、控烟戒烟、孕产保健、婴幼儿养护等科普内容，每周推送科普图文、短视频等不少于5条。二是开设线上健康讲堂，组织全科医师、公卫医师、慢病管理专员、妇幼保健医师定期开展线上答疑，针对慢病用药、日常护理、并发症预防、孕期保健、儿童喂养等居民高频疑问专项解读。</w:t>
      </w:r>
    </w:p>
    <w:p w14:paraId="3E9875F4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同时，依托辖区居民健康档案大数据，结合17646名高血压、7922名糖尿病、578名慢阻肺慢病患者及老年人、青少年、891名孕产妇、1183名0-6岁儿童等重点人群分类，推行“千人千策”个性化科普推送，摒弃传统“一刀切”宣教模式，针对不同病种、不同年龄、不同特殊人群精准推送适配的健康指导内容，让健康教育更贴合居民实际健康需求。通过线上预告、线下落地、线上回看的联动模式，实现健康教育全天候、全覆盖、无死角。</w:t>
      </w:r>
    </w:p>
    <w:p w14:paraId="13AAEA6B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BF1FDDB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0D6005D2">
      <w:pPr>
        <w:tabs>
          <w:tab w:val="left" w:pos="4827"/>
        </w:tabs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2631440" cy="1974215"/>
            <wp:effectExtent l="0" t="0" r="16510" b="6985"/>
            <wp:docPr id="5" name="图片 1" descr="d7b8cb63de0d3e8438be684a46f897e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7b8cb63de0d3e8438be684a46f897e_副本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31440" cy="197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  <w:lang w:eastAsia="zh-CN"/>
        </w:rPr>
        <w:tab/>
      </w: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2097405" cy="1983105"/>
            <wp:effectExtent l="0" t="0" r="17145" b="17145"/>
            <wp:docPr id="7" name="图片 3" descr="527169c27a6b8f0367a25dfc05f04df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527169c27a6b8f0367a25dfc05f04df_副本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740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B9E3F">
      <w:pPr>
        <w:spacing w:before="120" w:after="120" w:line="288" w:lineRule="auto"/>
        <w:ind w:left="0" w:firstLine="660" w:firstLineChars="300"/>
        <w:jc w:val="left"/>
        <w:rPr>
          <w:rFonts w:hint="default" w:ascii="Arial" w:hAnsi="Arial" w:eastAsia="等线" w:cs="Arial"/>
          <w:b/>
          <w:bCs/>
          <w:sz w:val="22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线下进学校宣传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                                          </w:t>
      </w: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 xml:space="preserve"> 线下进学校宣传</w:t>
      </w:r>
    </w:p>
    <w:p w14:paraId="1456D8AE">
      <w:pPr>
        <w:spacing w:before="120" w:after="120" w:line="288" w:lineRule="auto"/>
        <w:ind w:left="0" w:firstLine="660" w:firstLineChars="300"/>
        <w:jc w:val="left"/>
        <w:rPr>
          <w:rFonts w:hint="default" w:ascii="Arial" w:hAnsi="Arial" w:eastAsia="等线" w:cs="Arial"/>
          <w:b/>
          <w:bCs/>
          <w:sz w:val="22"/>
          <w:lang w:val="en-US" w:eastAsia="zh-CN"/>
        </w:rPr>
      </w:pPr>
    </w:p>
    <w:p w14:paraId="2FDBB030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79C2749C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170AF1F1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5DAC2DD3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/>
        </w:rPr>
      </w:pP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2632075" cy="1917065"/>
            <wp:effectExtent l="0" t="0" r="15875" b="6985"/>
            <wp:docPr id="8" name="图片 4" descr="290da33a28cc91c9f03e0f1c505f5bd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290da33a28cc91c9f03e0f1c505f5bd_副本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32075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2141855" cy="1945005"/>
            <wp:effectExtent l="0" t="0" r="10795" b="17145"/>
            <wp:docPr id="10" name="图片 6" descr="7327a10c4c9b798ce03be1d5270459f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7327a10c4c9b798ce03be1d5270459f_副本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41855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D567A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b/>
          <w:bCs/>
          <w:sz w:val="22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线下银领国际广场宣传</w:t>
      </w:r>
      <w:r>
        <w:rPr>
          <w:rFonts w:hint="eastAsia" w:ascii="宋体" w:hAnsi="宋体"/>
          <w:sz w:val="24"/>
          <w:lang w:val="en-US" w:eastAsia="zh-CN"/>
        </w:rPr>
        <w:t xml:space="preserve">                    </w:t>
      </w: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线下进社区宣传</w:t>
      </w:r>
    </w:p>
    <w:p w14:paraId="2A1E53D8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07C39C0D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BB9605A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3091724F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87C7AD0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5AB26CCE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44902D81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2607945" cy="4201160"/>
            <wp:effectExtent l="0" t="0" r="1905" b="8890"/>
            <wp:docPr id="1" name="图片 1" descr="6e5cc99f70b1e244f160f49298d3d0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e5cc99f70b1e244f160f49298d3d0a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7945" cy="420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2168525" cy="4064000"/>
            <wp:effectExtent l="0" t="0" r="3175" b="12700"/>
            <wp:docPr id="2" name="图片 2" descr="fbf51301fcb97822bcbb30ccfe2287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bf51301fcb97822bcbb30ccfe22878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D46FA">
      <w:pPr>
        <w:spacing w:before="120" w:after="120" w:line="288" w:lineRule="auto"/>
        <w:ind w:firstLine="880" w:firstLineChars="40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公众号宣传                                             公众号宣传</w:t>
      </w:r>
    </w:p>
    <w:p w14:paraId="5818C34D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5E422080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46C84DEE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54C742AA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2834640" cy="5144135"/>
            <wp:effectExtent l="0" t="0" r="3810" b="18415"/>
            <wp:docPr id="3" name="图片 3" descr="709b5d56eae9b3d14ec66f78105f47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09b5d56eae9b3d14ec66f78105f47d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514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2262505" cy="5121275"/>
            <wp:effectExtent l="0" t="0" r="4445" b="3175"/>
            <wp:docPr id="4" name="图片 4" descr="dd602a5bf6682b3b1345a0dce70108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d602a5bf6682b3b1345a0dce701085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62505" cy="512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3480E">
      <w:pPr>
        <w:spacing w:before="120" w:after="120" w:line="288" w:lineRule="auto"/>
        <w:ind w:firstLine="1541" w:firstLineChars="700"/>
        <w:jc w:val="left"/>
        <w:rPr>
          <w:rFonts w:hint="default" w:ascii="Arial" w:hAnsi="Arial" w:eastAsia="等线" w:cs="Arial"/>
          <w:b/>
          <w:bCs/>
          <w:sz w:val="22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视频号宣传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                                   </w:t>
      </w: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视频号宣传</w:t>
      </w:r>
    </w:p>
    <w:p w14:paraId="0CED62A8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749F4026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0A09005C">
      <w:pPr>
        <w:spacing w:before="300" w:after="120" w:line="288" w:lineRule="auto"/>
        <w:ind w:left="0" w:firstLine="602" w:firstLineChars="200"/>
        <w:jc w:val="left"/>
        <w:outlineLvl w:val="2"/>
        <w:rPr>
          <w:rFonts w:hint="eastAsia" w:ascii="楷体_GB2312" w:hAnsi="楷体_GB2312" w:eastAsia="楷体_GB2312" w:cs="楷体_GB2312"/>
          <w:b/>
          <w:sz w:val="30"/>
        </w:rPr>
      </w:pPr>
      <w:bookmarkStart w:id="3" w:name="heading_3"/>
      <w:r>
        <w:rPr>
          <w:rFonts w:hint="eastAsia" w:ascii="楷体_GB2312" w:hAnsi="楷体_GB2312" w:eastAsia="楷体_GB2312" w:cs="楷体_GB2312"/>
          <w:b/>
          <w:sz w:val="30"/>
        </w:rPr>
        <w:t>（二）深化医防融合机制，做实健康危险行为干预与慢病精细化管理</w:t>
      </w:r>
      <w:bookmarkEnd w:id="3"/>
    </w:p>
    <w:p w14:paraId="2A743409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立“临床诊疗+公卫随访+健康干预”一体化医防融合工作机制，将健康教育和行为干预贯穿疾病诊疗、慢病管理、妇幼保健全流程。一方面，门诊临床医师在日常接诊过程中，同步对就诊居民开展健康风险评估，重点筛查吸烟、过量饮酒、久坐不动、饮食高盐高油、擅自停药等危险行为，对高危人群建立干预台账，及时对接公卫团队开展持续性跟踪干预。另一方面，公卫团队在慢病随访工作中，针对辖区高血压、糖尿病、慢阻肺在册患者，一对一开展生活方式指导、用药指导、康复护理指导，详细记录患者饮食、运动、用药依从性情况，动态更新管理台账。</w:t>
      </w:r>
    </w:p>
    <w:p w14:paraId="11F2A4F0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针对三大重点慢病群体，专项组建慢病自我管理小组，定期开展同伴教育、线下康复交流活动，引导患者互相交流控压、控糖、肺病养护经验，纠正不良生活习惯。同时，紧盯季节性传染病、常见传染性疾病防控重点，深入辖区社区、校园、企业开展常态化宣教，普及流感、诺如病毒、结核病、手足口病等防控知识，讲解疫苗接种、日常消杀、个人防护等核心要点，提升居民及儿童传染病自主防控能力，筑牢社区公共卫生防护屏障。</w:t>
      </w:r>
    </w:p>
    <w:p w14:paraId="5D1C5611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1736090" cy="3863340"/>
            <wp:effectExtent l="0" t="0" r="16510" b="3810"/>
            <wp:docPr id="21" name="图片 21" descr="b79933abb19c2e1f86819e460fd9ed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b79933abb19c2e1f86819e460fd9ed5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36090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    </w:t>
      </w:r>
      <w:r>
        <w:rPr>
          <w:rFonts w:hint="default" w:ascii="Arial" w:hAnsi="Arial" w:eastAsia="等线" w:cs="Arial"/>
          <w:sz w:val="22"/>
          <w:lang w:val="en-US" w:eastAsia="zh-CN"/>
        </w:rPr>
        <w:drawing>
          <wp:inline distT="0" distB="0" distL="114300" distR="114300">
            <wp:extent cx="1567815" cy="3810635"/>
            <wp:effectExtent l="0" t="0" r="13335" b="18415"/>
            <wp:docPr id="22" name="图片 22" descr="eae97ab5fb9b35090efc736d7e7cec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eae97ab5fb9b35090efc736d7e7cec1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67815" cy="381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5AC14">
      <w:pPr>
        <w:spacing w:before="120" w:after="120" w:line="288" w:lineRule="auto"/>
        <w:ind w:left="0" w:firstLine="440" w:firstLineChars="20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通过家庭医生群宣教          通过家庭医生群宣教</w:t>
      </w:r>
    </w:p>
    <w:p w14:paraId="26758C33">
      <w:pPr>
        <w:spacing w:before="120" w:after="120" w:line="288" w:lineRule="auto"/>
        <w:ind w:left="0" w:firstLine="440" w:firstLineChars="200"/>
        <w:jc w:val="left"/>
        <w:rPr>
          <w:rFonts w:hint="default" w:ascii="Arial" w:hAnsi="Arial" w:eastAsia="等线" w:cs="Arial"/>
          <w:sz w:val="22"/>
          <w:lang w:val="en-US" w:eastAsia="zh-CN"/>
        </w:rPr>
      </w:pPr>
    </w:p>
    <w:p w14:paraId="3BB775F8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706398D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483DE13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E636380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647D0B6A">
      <w:pPr>
        <w:spacing w:before="300" w:after="120" w:line="288" w:lineRule="auto"/>
        <w:ind w:left="0" w:firstLine="602" w:firstLineChars="200"/>
        <w:jc w:val="left"/>
        <w:outlineLvl w:val="2"/>
        <w:rPr>
          <w:rFonts w:hint="eastAsia" w:ascii="楷体_GB2312" w:hAnsi="楷体_GB2312" w:eastAsia="楷体_GB2312" w:cs="楷体_GB2312"/>
          <w:b/>
          <w:sz w:val="30"/>
        </w:rPr>
      </w:pPr>
      <w:bookmarkStart w:id="4" w:name="heading_4"/>
      <w:r>
        <w:rPr>
          <w:rFonts w:hint="eastAsia" w:ascii="楷体_GB2312" w:hAnsi="楷体_GB2312" w:eastAsia="楷体_GB2312" w:cs="楷体_GB2312"/>
          <w:b/>
          <w:sz w:val="30"/>
        </w:rPr>
        <w:t>（三）开设特色妈妈课堂，精准护航妇幼健康成长</w:t>
      </w:r>
      <w:bookmarkEnd w:id="4"/>
    </w:p>
    <w:p w14:paraId="788A37E9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聚焦辖区891名孕产妇、1183名0-6岁儿童专属健康需求，常态化开设公益妈妈课堂，打造妇幼专项健康宣教品牌，补齐妇幼健康教育短板。课堂由中心妇幼保健医师专人主讲，采用“理论讲解+实操演示+互动答疑”的模式，按月开展常态化授课，覆盖备孕期、孕期、产褥期、婴幼儿养育全周期。</w:t>
      </w:r>
    </w:p>
    <w:p w14:paraId="5B2CDC27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课堂内容贴合群众刚需、通俗易懂，孕期重点讲解叶酸补充、孕期营养膳食、孕期风险筛查、妊娠期并发症预防、科学作息与情绪管理、五色妊娠风险分级管理等核心内容；产后聚焦科学开奶、母乳喂养技巧、乳房护理、产后康复、月子健康养护等实操指导；婴幼儿阶段围绕辅食科学添加、儿童合理膳食、生长发育监测、常见疾病预防、疫苗接种规范、亲子健康互动、不良喂养误区纠正等内容开展科普教学。同时，课堂设置现场答疑、经验交流环节，及时解答孕妈及新手家长育儿困惑，一对一指导科学养护方式，搭建医患互通、家长互助的健康交流平台，全方位提升辖区家庭妇幼健康养护能力。</w:t>
      </w:r>
    </w:p>
    <w:p w14:paraId="26B1A605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2938145" cy="2203450"/>
            <wp:effectExtent l="0" t="0" r="14605" b="6350"/>
            <wp:docPr id="13" name="图片 13" descr="80ff9440fce9068f519c254dc460a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80ff9440fce9068f519c254dc460a3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38145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   </w:t>
      </w:r>
      <w:r>
        <w:rPr>
          <w:rFonts w:hint="default" w:ascii="Arial" w:hAnsi="Arial" w:eastAsia="等线" w:cs="Arial"/>
          <w:sz w:val="22"/>
          <w:lang w:val="en-US" w:eastAsia="zh-CN"/>
        </w:rPr>
        <w:drawing>
          <wp:inline distT="0" distB="0" distL="114300" distR="114300">
            <wp:extent cx="2127250" cy="2245360"/>
            <wp:effectExtent l="0" t="0" r="6350" b="2540"/>
            <wp:docPr id="14" name="图片 14" descr="d38be7ffcb8ed0e19f0ef8a0485979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38be7ffcb8ed0e19f0ef8a0485979c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96461">
      <w:pPr>
        <w:spacing w:before="120" w:after="120" w:line="288" w:lineRule="auto"/>
        <w:ind w:left="0" w:firstLine="660" w:firstLineChars="30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线下妈妈班 宣传                                                       线下妈妈班宣传</w:t>
      </w:r>
    </w:p>
    <w:p w14:paraId="2A1E0A0F">
      <w:pPr>
        <w:spacing w:before="300" w:after="120" w:line="288" w:lineRule="auto"/>
        <w:ind w:left="0" w:firstLine="602" w:firstLineChars="200"/>
        <w:jc w:val="left"/>
        <w:outlineLvl w:val="2"/>
      </w:pPr>
      <w:bookmarkStart w:id="5" w:name="heading_5"/>
      <w:r>
        <w:rPr>
          <w:rFonts w:hint="eastAsia" w:ascii="楷体_GB2312" w:hAnsi="楷体_GB2312" w:eastAsia="楷体_GB2312" w:cs="楷体_GB2312"/>
          <w:b/>
          <w:sz w:val="30"/>
        </w:rPr>
        <w:t>（四）深耕健康文化建设，营造全民健康浓厚氛围</w:t>
      </w:r>
      <w:bookmarkEnd w:id="5"/>
    </w:p>
    <w:p w14:paraId="052156F0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健康社区建设为抓手，常态化开展多元化健康文化推广活动。一是常态化推进控烟宣传工作，在中心诊疗区域、社区公共广场、小区楼道等重点区域开展控烟巡展、禁烟宣传，普及烟草危害、二手烟危害知识，为吸烟居民提供免费戒烟咨询、戒烟指导服务，全力推进无烟社区建设。二是紧扣健康素养促进月、世界高血压日、联合国糖尿病日、世界慢阻肺日、母亲节、儿童节等各类健康主题日，开展大型健康科普、义诊咨询、慢病筛查、妇幼健康公益活动，免费为居民测量血压、血糖、肺功能，为孕产妇、儿童提供健康评估和养护指导。三是组建医护志愿服务队，联动辖区社区居委会、物业，常态化开展全民健身推广活动，深入小区开展科学健身指导、居民体质简易评估、居家运动科普等志愿服务，引导居民摒弃久坐、熬夜等不良习惯，主动参与日常健身运动，推动全民健身理念深入人心，构建全民参与、全民健康的良好社区氛围。</w:t>
      </w:r>
    </w:p>
    <w:p w14:paraId="28699AA8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6C89569A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2686685" cy="2014220"/>
            <wp:effectExtent l="0" t="0" r="18415" b="5080"/>
            <wp:docPr id="15" name="图片 9" descr="2e6f4b4bfc3ae96caf263bc7fd61988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 descr="2e6f4b4bfc3ae96caf263bc7fd61988_副本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86685" cy="201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2028825" cy="2026920"/>
            <wp:effectExtent l="0" t="0" r="9525" b="11430"/>
            <wp:docPr id="16" name="图片 10" descr="50c59e183a744f536e616dfa65aa4ae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 descr="50c59e183a744f536e616dfa65aa4ae_副本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36E4D">
      <w:pPr>
        <w:spacing w:before="120" w:after="120" w:line="288" w:lineRule="auto"/>
        <w:ind w:left="0" w:firstLine="660" w:firstLineChars="30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儿童预防接种日宣传                            </w:t>
      </w:r>
    </w:p>
    <w:p w14:paraId="05F1E78A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7FC0A14B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2686685" cy="2015490"/>
            <wp:effectExtent l="0" t="0" r="18415" b="3810"/>
            <wp:docPr id="17" name="图片 11" descr="482c5d199d28ef2d5b6095dfe149200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 descr="482c5d199d28ef2d5b6095dfe149200_副本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86685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2214880" cy="2009140"/>
            <wp:effectExtent l="0" t="0" r="13970" b="10160"/>
            <wp:docPr id="18" name="图片 12" descr="a6fbbb54b9be23cda74efb32e52d5d6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 descr="a6fbbb54b9be23cda74efb32e52d5d6_副本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200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0A9B3">
      <w:pPr>
        <w:spacing w:before="120" w:after="120" w:line="288" w:lineRule="auto"/>
        <w:ind w:left="0" w:firstLine="220" w:firstLineChars="10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联动辖区居委会宣传                                      保税区企业宣传</w:t>
      </w:r>
    </w:p>
    <w:p w14:paraId="7F21161D">
      <w:pPr>
        <w:spacing w:before="120" w:after="120" w:line="288" w:lineRule="auto"/>
        <w:ind w:left="0" w:firstLine="220" w:firstLineChars="100"/>
        <w:jc w:val="left"/>
        <w:rPr>
          <w:rFonts w:hint="eastAsia" w:ascii="Arial" w:hAnsi="Arial" w:eastAsia="等线" w:cs="Arial"/>
          <w:sz w:val="22"/>
          <w:lang w:val="en-US" w:eastAsia="zh-CN"/>
        </w:rPr>
      </w:pPr>
    </w:p>
    <w:p w14:paraId="66B19817">
      <w:pPr>
        <w:spacing w:before="120" w:after="120" w:line="288" w:lineRule="auto"/>
        <w:ind w:left="0" w:firstLine="220" w:firstLineChars="100"/>
        <w:jc w:val="left"/>
        <w:rPr>
          <w:rFonts w:hint="eastAsia" w:ascii="Arial" w:hAnsi="Arial" w:eastAsia="等线" w:cs="Arial"/>
          <w:sz w:val="22"/>
          <w:lang w:val="en-US" w:eastAsia="zh-CN"/>
        </w:rPr>
      </w:pPr>
    </w:p>
    <w:p w14:paraId="31106151">
      <w:pPr>
        <w:spacing w:before="120" w:after="120" w:line="288" w:lineRule="auto"/>
        <w:ind w:left="0" w:firstLine="240" w:firstLineChars="10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2700655" cy="2025015"/>
            <wp:effectExtent l="0" t="0" r="4445" b="13335"/>
            <wp:docPr id="19" name="图片 13" descr="32c1a5ef98fe38d5f5da34f380e6453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 descr="32c1a5ef98fe38d5f5da34f380e6453_副本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202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2261235" cy="1990725"/>
            <wp:effectExtent l="0" t="0" r="5715" b="9525"/>
            <wp:docPr id="20" name="图片 14" descr="5f2276eef392fb610440d7ac954023d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 descr="5f2276eef392fb610440d7ac954023d_副本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6123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91F8F">
      <w:pPr>
        <w:spacing w:before="120" w:after="120" w:line="288" w:lineRule="auto"/>
        <w:ind w:left="0" w:firstLine="880" w:firstLineChars="40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进机关宣传                                               进建筑工地宣传</w:t>
      </w:r>
    </w:p>
    <w:p w14:paraId="2D60F271">
      <w:pPr>
        <w:spacing w:before="120" w:after="120" w:line="288" w:lineRule="auto"/>
        <w:ind w:left="0" w:firstLine="220" w:firstLineChars="100"/>
        <w:jc w:val="left"/>
        <w:rPr>
          <w:rFonts w:hint="default" w:ascii="Arial" w:hAnsi="Arial" w:eastAsia="等线" w:cs="Arial"/>
          <w:sz w:val="22"/>
          <w:lang w:val="en-US" w:eastAsia="zh-CN"/>
        </w:rPr>
      </w:pPr>
    </w:p>
    <w:p w14:paraId="6F652538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431DE861">
      <w:pPr>
        <w:spacing w:before="300" w:after="120" w:line="288" w:lineRule="auto"/>
        <w:ind w:left="0" w:firstLine="602" w:firstLineChars="200"/>
        <w:jc w:val="left"/>
        <w:outlineLvl w:val="2"/>
        <w:rPr>
          <w:rFonts w:hint="eastAsia" w:ascii="楷体_GB2312" w:hAnsi="楷体_GB2312" w:eastAsia="楷体_GB2312" w:cs="楷体_GB2312"/>
          <w:b/>
          <w:sz w:val="30"/>
        </w:rPr>
      </w:pPr>
      <w:bookmarkStart w:id="6" w:name="heading_6"/>
      <w:r>
        <w:rPr>
          <w:rFonts w:hint="eastAsia" w:ascii="楷体_GB2312" w:hAnsi="楷体_GB2312" w:eastAsia="楷体_GB2312" w:cs="楷体_GB2312"/>
          <w:b/>
          <w:sz w:val="30"/>
        </w:rPr>
        <w:t>（五）健全长效工作机制，保障宣教工作落地见效</w:t>
      </w:r>
      <w:bookmarkEnd w:id="6"/>
    </w:p>
    <w:p w14:paraId="22DD5C50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立临床、公卫、护理、妇幼、志愿服务多方分工协作机制，明确各岗位健康教育、慢病干预、妇幼宣教、科普宣传工作职责，将健康教育、妈妈课堂开展情况纳入常态化考核。定期梳理辖区居民健康需求、慢病管理痛点、妇幼养护难点、科普反馈意见，动态调整科普内容、活动形式和干预方案，持续优化“互联网+医防融合”健康教育服务模式，确保各项工作精准落地、长效推进。</w:t>
      </w:r>
    </w:p>
    <w:p w14:paraId="2F613A81">
      <w:pPr>
        <w:spacing w:before="320" w:after="120" w:line="288" w:lineRule="auto"/>
        <w:ind w:left="0" w:firstLine="643" w:firstLineChars="200"/>
        <w:jc w:val="left"/>
        <w:outlineLvl w:val="1"/>
        <w:rPr>
          <w:rFonts w:hint="eastAsia" w:ascii="黑体" w:hAnsi="黑体" w:eastAsia="黑体" w:cs="黑体"/>
          <w:b/>
          <w:sz w:val="32"/>
          <w:szCs w:val="32"/>
        </w:rPr>
      </w:pPr>
      <w:bookmarkStart w:id="7" w:name="heading_7"/>
      <w:r>
        <w:rPr>
          <w:rFonts w:hint="eastAsia" w:ascii="黑体" w:hAnsi="黑体" w:eastAsia="黑体" w:cs="黑体"/>
          <w:b/>
          <w:sz w:val="32"/>
          <w:szCs w:val="32"/>
        </w:rPr>
        <w:t>三、工作成效</w:t>
      </w:r>
      <w:bookmarkEnd w:id="7"/>
    </w:p>
    <w:p w14:paraId="73AAC4EC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自2025年1月工作开展以来，我中心社区健康教育与健康促进工作成效显著，辖区居民健康素养、慢病管理质量、妇幼健康水平、健康生活方式普及率大幅提升。</w:t>
      </w:r>
    </w:p>
    <w:p w14:paraId="708483BF">
      <w:pPr>
        <w:spacing w:before="120" w:after="120" w:line="288" w:lineRule="auto"/>
        <w:ind w:left="0"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健康科普覆盖面全面拓宽。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依托“互联网+”宣教矩阵，累计发布健康科普内容300余条，开展线上健康讲堂40余场，线上科普总阅读、观看量突破1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6.8</w:t>
      </w:r>
      <w:r>
        <w:rPr>
          <w:rFonts w:hint="eastAsia" w:ascii="仿宋_GB2312" w:hAnsi="仿宋_GB2312" w:eastAsia="仿宋_GB2312" w:cs="仿宋_GB2312"/>
          <w:sz w:val="32"/>
          <w:szCs w:val="32"/>
        </w:rPr>
        <w:t>万人次，覆盖辖区超80%常住居民。常态化开展线下科普义诊、控烟宣传、健康志愿服务、妈妈课堂60余场，惠及居民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10余</w:t>
      </w:r>
      <w:r>
        <w:rPr>
          <w:rFonts w:hint="eastAsia" w:ascii="仿宋_GB2312" w:hAnsi="仿宋_GB2312" w:eastAsia="仿宋_GB2312" w:cs="仿宋_GB2312"/>
          <w:sz w:val="32"/>
          <w:szCs w:val="32"/>
        </w:rPr>
        <w:t>万余人次，彻底解决了传统科普覆盖面窄、频次不足、妇幼专项宣教缺失的问题。</w:t>
      </w:r>
    </w:p>
    <w:p w14:paraId="41B35578">
      <w:pPr>
        <w:spacing w:before="120" w:after="120" w:line="288" w:lineRule="auto"/>
        <w:ind w:left="0"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慢病管理质效显著提升。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精准化健康宣教和常态化行为干预，辖区17646名高血压患者、7922名糖尿病患者、578名慢阻肺患者规范管理率、用药依从性、规律运动率持续提升，患者擅自停药、饮食不节制、久坐不动等不良健康行为发生率大幅下降，慢病病情稳定率明显提高，有效降低了慢病并发症发病风险。</w:t>
      </w:r>
    </w:p>
    <w:p w14:paraId="1E1E7AF3">
      <w:pPr>
        <w:spacing w:before="120" w:after="120" w:line="288" w:lineRule="auto"/>
        <w:ind w:left="0"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妇幼健康保障能力持续增强</w:t>
      </w:r>
      <w:r>
        <w:rPr>
          <w:rFonts w:hint="eastAsia" w:ascii="仿宋_GB2312" w:hAnsi="仿宋_GB2312" w:eastAsia="仿宋_GB2312" w:cs="仿宋_GB2312"/>
          <w:sz w:val="32"/>
          <w:szCs w:val="32"/>
        </w:rPr>
        <w:t>。常态化开展妈妈课堂专项宣教，辖区孕产妇孕期保健知晓率、规范产检率、科学母乳喂养率显著提升，妊娠期高血压、糖尿病等并发症防控意识明显增强；0-6岁儿童家长科学喂养、疫苗接种、疾病预防知识掌握度大幅提高，儿童不良喂养、养护误区有效纠正，辖区妇幼健康精细化管理水平显著提升。</w:t>
      </w:r>
    </w:p>
    <w:p w14:paraId="3B538E05">
      <w:pPr>
        <w:spacing w:before="120" w:after="120" w:line="288" w:lineRule="auto"/>
        <w:ind w:left="0"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居民健康素养大幅提升。</w:t>
      </w:r>
      <w:r>
        <w:rPr>
          <w:rFonts w:hint="eastAsia" w:ascii="仿宋_GB2312" w:hAnsi="仿宋_GB2312" w:eastAsia="仿宋_GB2312" w:cs="仿宋_GB2312"/>
          <w:sz w:val="32"/>
          <w:szCs w:val="32"/>
        </w:rPr>
        <w:t>辖区居民对慢性病防治、传染病防控、控烟养生、科学健身、孕产育儿等健康知识知晓率显著提升，主动体检、主动就医、主动健康管理的意识明显增强，吸烟、高盐饮食、缺乏运动等核心健康危险行为得到有效纠正。</w:t>
      </w:r>
    </w:p>
    <w:p w14:paraId="0A093ED2">
      <w:pPr>
        <w:spacing w:before="120" w:after="120" w:line="288" w:lineRule="auto"/>
        <w:ind w:left="0"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医防融合体系日趋成熟</w:t>
      </w:r>
      <w:r>
        <w:rPr>
          <w:rFonts w:hint="eastAsia" w:ascii="仿宋_GB2312" w:hAnsi="仿宋_GB2312" w:eastAsia="仿宋_GB2312" w:cs="仿宋_GB2312"/>
          <w:sz w:val="32"/>
          <w:szCs w:val="32"/>
        </w:rPr>
        <w:t>。实现临床诊疗与公共卫生服务无缝衔接，健康干预、慢病管理、妇幼保健、疾病防控一体化服务模式全面落地，有效破解了“重治疗、轻预防”的基层医疗服务难题，基层公共卫生服务精细化、规范化水平大幅提升。</w:t>
      </w:r>
    </w:p>
    <w:p w14:paraId="20DA5B73">
      <w:pPr>
        <w:spacing w:before="120" w:after="120" w:line="288" w:lineRule="auto"/>
        <w:ind w:left="0" w:firstLine="643" w:firstLineChars="200"/>
        <w:jc w:val="left"/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健康社区氛围全面营造。</w:t>
      </w:r>
      <w:r>
        <w:rPr>
          <w:rFonts w:hint="eastAsia" w:ascii="仿宋_GB2312" w:hAnsi="仿宋_GB2312" w:eastAsia="仿宋_GB2312" w:cs="仿宋_GB2312"/>
          <w:sz w:val="32"/>
          <w:szCs w:val="32"/>
        </w:rPr>
        <w:t>控烟禁烟、科学养生、全民健身、科学育儿的健康理念深度普及，全民参与健康建设的格局基本形成，获得了辖区居民、社区居委会的高度认</w:t>
      </w:r>
      <w:r>
        <w:rPr>
          <w:rFonts w:ascii="Arial" w:hAnsi="Arial" w:eastAsia="等线" w:cs="Arial"/>
          <w:sz w:val="22"/>
        </w:rPr>
        <w:t>可，群众健康获得感、满意度持续提升。</w:t>
      </w:r>
    </w:p>
    <w:p w14:paraId="7BFBFF85">
      <w:pPr>
        <w:spacing w:before="320" w:after="120" w:line="288" w:lineRule="auto"/>
        <w:ind w:left="0" w:firstLine="640" w:firstLineChars="20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四、经验启示</w:t>
      </w:r>
      <w:bookmarkEnd w:id="8"/>
    </w:p>
    <w:p w14:paraId="5B1A6501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“互联网+健康教育”是大规模辖区精准宣教的核心抓手。针对我中心辖区人口超21.45万、慢病群体、妇幼群体基数庞大的现状，数字化线上宣教模式有效打破了时间、空间限制，能够实现大范围、常态化、个性化的健康科普服务，适配大体量社区全人群健康服务工作需求，有效弥补传统宣教短板。</w:t>
      </w:r>
    </w:p>
    <w:p w14:paraId="22E4F379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医防融合是基层全人群健康管控的核心路径。将健康教育、行为干预融入临床诊疗、公卫随访、妇幼保健全流程，打通“治病”与“防病”壁垒，针对高血压、糖尿病、慢阻肺、孕产妇、0-6岁儿童等重点人群开展闭环式健康管理，全方位覆盖全生命周期健康服务，从源头规避健康风险，切实提升基层疾病预防控制和健康服务能力。</w:t>
      </w:r>
    </w:p>
    <w:p w14:paraId="7AE93445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专项特色宣教是补齐细分人群服务短板的关键。孕产妇、婴幼儿属于特殊脆弱人群，健康需求专业化、精细化程度高。常态化开设妈妈课堂，开展针对性、系统化妇幼专项宣教，能够精准匹配特殊人群刚需，填补普通健康科普的服务空白，是提升基层妇幼健康服务质量的有效举措。</w:t>
      </w:r>
    </w:p>
    <w:p w14:paraId="126E9B8F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长效干预是扭转健康危险行为的关键所在。居民不良生活方式、不良育儿习惯的改变并非一蹴而就，单次科普宣传效果有限。通过建立台账跟踪、常态化随访、持续性指导、特色课堂带动的长效干预机制，能够持续引导居民主动摒弃危险健康行为，养成科学健康的生活、育儿习惯。</w:t>
      </w:r>
    </w:p>
    <w:p w14:paraId="3B391646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多方联动是构建全域健康文化的重要保障。社区健康教育和健康文化建设并非单一医疗单位的工作，需要联动社区、物业、志愿力量，整合各方资源开展控烟宣传、科普义诊、全民健身、妇幼公益课堂等活动，构建全员参与、全域覆盖、全程管控的健康促进工作格局。</w:t>
      </w:r>
    </w:p>
    <w:p w14:paraId="2479D1FF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贴合基层实际是工作可推广的核心基础。基层健康教育工作需立足辖区人口特点、慢病结构、妇幼人群需求，摒弃形式化、套路化工作模式，兼顾普惠性科普与精细化专项服务，以通俗化、亲民化、精准化的服务开展宣教工作，才能真正让健康知识落地、健康服务见效，形成可复制、可推广的基层健康宣教工作经验。</w:t>
      </w:r>
    </w:p>
    <w:p w14:paraId="245371D5">
      <w:pPr>
        <w:spacing w:before="120" w:after="120" w:line="288" w:lineRule="auto"/>
        <w:ind w:left="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</w:t>
      </w:r>
    </w:p>
    <w:p w14:paraId="6DAB427A">
      <w:pPr>
        <w:spacing w:before="120" w:after="120" w:line="288" w:lineRule="auto"/>
        <w:ind w:left="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2026年7月30日</w:t>
      </w:r>
    </w:p>
    <w:p w14:paraId="6C2B2222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8241532-34A0-4A7C-8C84-F2757E028A9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CA1D1A3-D998-4BED-8D01-D681FF51EC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02D4FD68-4CDC-408D-A3FC-AC2DCB2AADC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8F6B9A59-C605-497A-8F38-0216D0FDCF4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CB5DB320-AA57-4476-9443-3B98DD1EF6D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46C4119B-D614-4715-888D-56B0D6A1264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4E1D0742-23AC-4ED0-9F72-0AAFBB1ED3B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5673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22C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D7962"/>
    <w:rsid w:val="1A1A19BC"/>
    <w:rsid w:val="429E0393"/>
    <w:rsid w:val="5C217E6A"/>
    <w:rsid w:val="72B817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4253</Words>
  <Characters>4346</Characters>
  <TotalTime>6</TotalTime>
  <ScaleCrop>false</ScaleCrop>
  <LinksUpToDate>false</LinksUpToDate>
  <CharactersWithSpaces>4758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2026-07-30T06:31:00Z</dcterms:created>
  <dc:creator>Apache POI</dc:creator>
  <cp:lastModifiedBy>孙桐</cp:lastModifiedBy>
  <dcterms:modified xsi:type="dcterms:W3CDTF">2026-10-08T02:13:25Z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{"Label":"1","ContentProducer":"001191110102MACQD9K64010000","ProduceID":"7668204843463789804","ReservedCode1":"","ContentPropagator":"","PropagateID":"","ReservedCode2":""}</vt:lpwstr>
  </property>
  <property fmtid="{D5CDD505-2E9C-101B-9397-08002B2CF9AE}" pid="3" name="KSOTemplateDocerSaveRecord">
    <vt:lpwstr>eyJoZGlkIjoiNmYwYTNkNjcxNDE5ZjEyNTYwZjZjZWRiZDNhMTk4YmMiLCJ1c2VySWQiOiI1NTM5NDU2NzEifQ==</vt:lpwstr>
  </property>
  <property fmtid="{D5CDD505-2E9C-101B-9397-08002B2CF9AE}" pid="4" name="KSOProductBuildVer">
    <vt:lpwstr>2052-12.1.0.28505</vt:lpwstr>
  </property>
  <property fmtid="{D5CDD505-2E9C-101B-9397-08002B2CF9AE}" pid="5" name="ICV">
    <vt:lpwstr>291F0351E41D409C82133874F235F088_13</vt:lpwstr>
  </property>
</Properties>
</file>