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69048">
      <w:pPr>
        <w:spacing w:line="48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258445</wp:posOffset>
                </wp:positionV>
                <wp:extent cx="6423025" cy="1634490"/>
                <wp:effectExtent l="0" t="0" r="15875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02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40510">
                            <w:pPr>
                              <w:jc w:val="distribute"/>
                              <w:rPr>
                                <w:rFonts w:hint="eastAsia" w:ascii="华文中宋" w:eastAsia="华文中宋"/>
                                <w:b/>
                                <w:color w:val="DE63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bookmarkStart w:id="1" w:name="OLE_LINK1"/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山东省健康促进与教育学会</w:t>
                            </w:r>
                          </w:p>
                          <w:bookmarkEnd w:id="1"/>
                          <w:p w14:paraId="0E510BBC">
                            <w:pPr>
                              <w:jc w:val="distribute"/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————————---</w:t>
                            </w:r>
                          </w:p>
                          <w:p w14:paraId="4BEA1C13">
                            <w:pPr>
                              <w:rPr>
                                <w:rFonts w:hint="eastAsia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75756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05pt;margin-top:20.35pt;height:128.7pt;width:505.75pt;z-index:251659264;mso-width-relative:page;mso-height-relative:page;" fillcolor="#FFFFFF" filled="t" stroked="f" coordsize="21600,21600" o:gfxdata="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aR4mfWAAAACgEAAA8AAAAAAAAAAQAgAAAAIgAAAGRycy9k&#10;b3ducmV2LnhtbFBLAQIUABQAAAAIAIdO4kCEYSQ7ywEAAIEDAAAOAAAAAAAAAAEAIAAAACUBAABk&#10;cnMvZTJvRG9jLnhtbFBLBQYAAAAABgAGAFkBAAB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7C40510">
                      <w:pPr>
                        <w:jc w:val="distribute"/>
                        <w:rPr>
                          <w:rFonts w:hint="eastAsia" w:ascii="华文中宋" w:eastAsia="华文中宋"/>
                          <w:b/>
                          <w:color w:val="DE63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bookmarkStart w:id="1" w:name="OLE_LINK1"/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山东省健康促进与教育学会</w:t>
                      </w:r>
                    </w:p>
                    <w:bookmarkEnd w:id="1"/>
                    <w:p w14:paraId="0E510BBC">
                      <w:pPr>
                        <w:jc w:val="distribute"/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————————---</w:t>
                      </w:r>
                    </w:p>
                    <w:p w14:paraId="4BEA1C13">
                      <w:pPr>
                        <w:rPr>
                          <w:rFonts w:hint="eastAsia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75756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21E4CA">
      <w:pPr>
        <w:spacing w:line="48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01694D09">
      <w:pPr>
        <w:spacing w:line="48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740C48BD">
      <w:pPr>
        <w:spacing w:line="48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71F51914">
      <w:pPr>
        <w:spacing w:line="48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7DB39EFE">
      <w:pPr>
        <w:tabs>
          <w:tab w:val="left" w:pos="3763"/>
          <w:tab w:val="center" w:pos="5375"/>
        </w:tabs>
        <w:spacing w:line="360" w:lineRule="auto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380365</wp:posOffset>
                </wp:positionV>
                <wp:extent cx="6113145" cy="7620"/>
                <wp:effectExtent l="0" t="22225" r="1905" b="273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145" cy="762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5pt;margin-top:29.95pt;height:0.6pt;width:481.35pt;z-index:251660288;mso-width-relative:page;mso-height-relative:page;" filled="f" stroked="t" coordsize="21600,21600" o:gfxdata="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yWskjYAAAACQEAAA8AAAAAAAAAAQAgAAAAIgAAAGRycy9k&#10;b3ducmV2LnhtbFBLAQIUABQAAAAIAIdO4kBjTFxVAgIAAPIDAAAOAAAAAAAAAAEAIAAAACcBAABk&#10;cnMvZTJvRG9jLnhtbFBLBQYAAAAABgAGAFkBAACbBQAAAAA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</w:rPr>
        <w:t>鲁健教〔2025〕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6"/>
          <w:szCs w:val="36"/>
        </w:rPr>
        <w:t>号</w:t>
      </w:r>
    </w:p>
    <w:p w14:paraId="6ED50F9D">
      <w:pPr>
        <w:tabs>
          <w:tab w:val="left" w:pos="3929"/>
        </w:tabs>
        <w:spacing w:line="580" w:lineRule="exact"/>
        <w:rPr>
          <w:rFonts w:hint="eastAsia"/>
          <w:sz w:val="52"/>
          <w:szCs w:val="52"/>
        </w:rPr>
      </w:pPr>
    </w:p>
    <w:p w14:paraId="1179AC11">
      <w:pPr>
        <w:keepNext w:val="0"/>
        <w:keepLines w:val="0"/>
        <w:pageBreakBefore w:val="0"/>
        <w:widowControl w:val="0"/>
        <w:tabs>
          <w:tab w:val="left" w:pos="39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关于召开山东省健康促进与教育学会</w:t>
      </w:r>
    </w:p>
    <w:p w14:paraId="50A55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超声诊断健康教育专业委员会成立大会</w:t>
      </w:r>
    </w:p>
    <w:p w14:paraId="221C1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暨第一次学术会议的通知</w:t>
      </w:r>
    </w:p>
    <w:p w14:paraId="3D960C3A">
      <w:pPr>
        <w:jc w:val="left"/>
        <w:rPr>
          <w:rFonts w:ascii="宋体" w:hAnsi="宋体" w:eastAsia="宋体"/>
          <w:sz w:val="28"/>
          <w:szCs w:val="28"/>
        </w:rPr>
      </w:pPr>
    </w:p>
    <w:p w14:paraId="4B12A8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各相关单位：</w:t>
      </w:r>
    </w:p>
    <w:p w14:paraId="5B13B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进一步提高我省超声医学专业水平，促进我省健康教育事业发展，经研究，定于2025年9月下旬在济南市召开山东省健康促进与教育学会超声诊断健康教育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专业委员会成立大会暨第一次学术会议，届时将邀请国内知名专家进行学术讲座，现将会议的有关事项通知如下：</w:t>
      </w:r>
    </w:p>
    <w:p w14:paraId="5A076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Style w:val="11"/>
          <w:rFonts w:hint="eastAsia" w:ascii="黑体" w:hAnsi="黑体" w:eastAsia="黑体" w:cs="黑体"/>
          <w:kern w:val="0"/>
          <w:sz w:val="32"/>
          <w:szCs w:val="32"/>
          <w:lang w:bidi="ar"/>
        </w:rPr>
        <w:t>一、组织单位</w:t>
      </w:r>
    </w:p>
    <w:p w14:paraId="69FC179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60" w:lineRule="exact"/>
        <w:ind w:firstLine="643" w:firstLineChars="200"/>
        <w:textAlignment w:val="auto"/>
        <w:rPr>
          <w:rStyle w:val="11"/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000000"/>
          <w:sz w:val="32"/>
          <w:szCs w:val="32"/>
        </w:rPr>
        <w:t>主办单位：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山东省健康促进与教育学会</w:t>
      </w:r>
    </w:p>
    <w:p w14:paraId="11D5C63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11"/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Style w:val="11"/>
          <w:rFonts w:hint="eastAsia" w:ascii="仿宋" w:hAnsi="仿宋" w:eastAsia="仿宋" w:cs="仿宋"/>
          <w:color w:val="000000"/>
          <w:sz w:val="32"/>
          <w:szCs w:val="32"/>
        </w:rPr>
        <w:t>承办单位</w:t>
      </w:r>
      <w:r>
        <w:rPr>
          <w:rStyle w:val="11"/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fldChar w:fldCharType="begin"/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instrText xml:space="preserve"> HYPERLINK "https://www.so.com/link?m=b433yAHhv0w1OxnlFSjzoJKPLGkMZRo3PkNHAb+iIE5bNsFsOVzRD79MwabY/Xc+u98Iah+IvvGH5DIxmbAuVA/hqmSuaWNmWz8ycQEAnyXEaJyn/4VywDVWYbbIExkAh59UI7bKB3PrkPvtNy1+RqVZdtQvAMmGVZGlGkNuanByFdvjDf+2blcaxUSJPzRvWdUF5x4I400hn74mKHg0LRUnA8MkG2K4Pvcmw0MbtoFcHrRf3aA2auJY+RxAulxGb" \o "山东省立第三医院" \t "https://www.so.com/_blank" </w:instrTex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山东省立第三医院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fldChar w:fldCharType="end"/>
      </w:r>
    </w:p>
    <w:p w14:paraId="3CF4EE2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7" w:firstLineChars="200"/>
        <w:textAlignment w:val="auto"/>
        <w:rPr>
          <w:rFonts w:ascii="黑体" w:hAnsi="黑体" w:eastAsia="黑体" w:cs="黑体"/>
          <w:b/>
          <w:bCs/>
          <w:spacing w:val="-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</w:rPr>
        <w:t>二、会议时间及安排</w:t>
      </w:r>
    </w:p>
    <w:p w14:paraId="27E1CDB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7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</w:rPr>
        <w:t>报到时间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eastAsia="zh-CN"/>
        </w:rPr>
        <w:t>：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202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年</w:t>
      </w:r>
      <w:r>
        <w:rPr>
          <w:rStyle w:val="11"/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日下午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14:00-19:00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6CCC1495">
      <w:pPr>
        <w:pStyle w:val="7"/>
        <w:keepNext w:val="0"/>
        <w:keepLines w:val="0"/>
        <w:pageBreakBefore w:val="0"/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7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</w:rPr>
        <w:t>会议时间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全天会议</w:t>
      </w:r>
    </w:p>
    <w:p w14:paraId="52ED884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7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</w:rPr>
        <w:t>会议地点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济南富力凯悦酒店三楼宴会厅1厅（地址：济南市市中区经四路187号）。</w:t>
      </w:r>
    </w:p>
    <w:p w14:paraId="6C3E916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三、参会人员</w:t>
      </w:r>
    </w:p>
    <w:p w14:paraId="2E18B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山东省健康促进与教育学会超声诊断健康教育专业委员会候选人；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各级医疗卫生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医学高等院校及科研院所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从事超声诊疗、科学研究、教育培训等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相关专业技术人员。</w:t>
      </w:r>
    </w:p>
    <w:p w14:paraId="3890BA9E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/>
        </w:rPr>
        <w:t>四、会议内容</w:t>
      </w:r>
    </w:p>
    <w:p w14:paraId="2354145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（一）成立超声诊断健康教育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专业委员会</w:t>
      </w:r>
    </w:p>
    <w:p w14:paraId="6B9E333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选举产生山东省健康促进与教育学会第一届超声诊断健康教育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委员、副主任委员及主任委员。</w:t>
      </w:r>
    </w:p>
    <w:p w14:paraId="2F2083E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20" w:firstLineChars="100"/>
        <w:textAlignment w:val="auto"/>
        <w:rPr>
          <w:rStyle w:val="11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学术会议</w:t>
      </w:r>
    </w:p>
    <w:p w14:paraId="157C644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 w:firstLine="684" w:firstLineChars="200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创新、远程医疗、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医工融合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等前沿热点，分享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科研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成果，促进学科发展。</w:t>
      </w:r>
    </w:p>
    <w:p w14:paraId="173F219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/>
        </w:rPr>
        <w:t>五、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会务费用及其他事项</w:t>
      </w:r>
    </w:p>
    <w:p w14:paraId="6464E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山东省健康促进与教育学会超声诊断健康教育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专业委员会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highlight w:val="none"/>
        </w:rPr>
        <w:t>候选人务必注册参会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（确因特殊原因不能参会者，经会务组同意后可委托他人参会并提交委托书，否则视为自动放弃委员候选人资格。）</w:t>
      </w:r>
    </w:p>
    <w:p w14:paraId="44012B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（1）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highlight w:val="none"/>
          <w:lang w:val="en-US" w:eastAsia="zh-CN"/>
        </w:rPr>
        <w:t>会员费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新申报的山东省健康促进与教育学会会员请进入网址http://jqh.jiankangqilu.com/（必须为PC端进入），注册、申请并缴费，会员费300元（会费标准60元/年，一次性缴纳5年，共300元；已缴纳过学会会费的委员请备注会费缴纳时间）付款时请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超声诊断健康教育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lang w:val="en-US" w:eastAsia="zh-CN"/>
        </w:rPr>
        <w:t>专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32"/>
          <w:szCs w:val="32"/>
          <w:highlight w:val="none"/>
          <w:lang w:val="en-US" w:eastAsia="zh-CN"/>
        </w:rPr>
        <w:t>业委员会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32"/>
          <w:szCs w:val="32"/>
          <w:highlight w:val="none"/>
        </w:rPr>
        <w:t>+参会人员姓名。</w:t>
      </w:r>
    </w:p>
    <w:p w14:paraId="3DF7E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会务费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highlight w:val="none"/>
        </w:rPr>
        <w:t>本次会议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highlight w:val="none"/>
          <w:lang w:val="en-US" w:eastAsia="zh-CN"/>
        </w:rPr>
        <w:t>免收注册费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highlight w:val="none"/>
        </w:rPr>
        <w:t>，交通、食宿自理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按照规定回单位报销。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住宿酒店：济南富力凯悦酒店。标准间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5元／床，单人间：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0元／间，请自行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扫下方二维码</w:t>
      </w:r>
      <w:r>
        <w:rPr>
          <w:rFonts w:hint="eastAsia" w:ascii="仿宋_GB2312" w:hAnsi="仿宋_GB2312" w:eastAsia="仿宋_GB2312" w:cs="仿宋_GB2312"/>
          <w:sz w:val="32"/>
          <w:szCs w:val="32"/>
        </w:rPr>
        <w:t>预定住宿。</w:t>
      </w:r>
    </w:p>
    <w:p w14:paraId="326B9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4"/>
          <w:sz w:val="32"/>
          <w:szCs w:val="32"/>
          <w:highlight w:val="none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43815</wp:posOffset>
            </wp:positionV>
            <wp:extent cx="850900" cy="843280"/>
            <wp:effectExtent l="0" t="0" r="6350" b="1397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（如需住宿，请自行扫码办理）</w:t>
      </w:r>
    </w:p>
    <w:p w14:paraId="3A5E1B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参会人员请于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日前填报回执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，并将电子版发送至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instrText xml:space="preserve"> HYPERLINK "mailto:jkjyjzx@163.com。"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17865571578@163.com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fldChar w:fldCharType="end"/>
      </w:r>
    </w:p>
    <w:p w14:paraId="4BB6B49B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联系人与联系</w:t>
      </w:r>
      <w:r>
        <w:t>方式</w:t>
      </w:r>
      <w:bookmarkStart w:id="2" w:name="_GoBack"/>
      <w:bookmarkEnd w:id="2"/>
    </w:p>
    <w:p w14:paraId="7B221CDE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440" w:hanging="5440" w:hangingChars="17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超声诊断健康教育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专业委员会筹备组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冯晓丹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17865571578</w:t>
      </w:r>
    </w:p>
    <w:p w14:paraId="2129B05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997" w:leftChars="-379" w:hanging="4793" w:hangingChars="149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王雪洁 17865707687</w:t>
      </w:r>
    </w:p>
    <w:p w14:paraId="08BBF188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‬省健康促进与教育学会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翟秋月  </w:t>
      </w: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</w:rPr>
        <w:t xml:space="preserve">0531-82898625 </w:t>
      </w:r>
    </w:p>
    <w:p w14:paraId="43FA8F12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济南富力凯悦酒店：朱  红 15253187715</w:t>
      </w:r>
    </w:p>
    <w:p w14:paraId="7E7FB7F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省健康促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进与教育学会网址：www.jiankangqilu.com</w:t>
      </w:r>
    </w:p>
    <w:p w14:paraId="04C21C1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扫描下方二维码关注学会官方公众号</w:t>
      </w:r>
    </w:p>
    <w:p w14:paraId="25BB394D">
      <w:pPr>
        <w:pStyle w:val="7"/>
        <w:spacing w:after="0" w:line="480" w:lineRule="auto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31115</wp:posOffset>
            </wp:positionV>
            <wp:extent cx="1038225" cy="1038225"/>
            <wp:effectExtent l="0" t="0" r="0" b="0"/>
            <wp:wrapTight wrapText="bothSides">
              <wp:wrapPolygon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6" name="图片 3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920E40">
      <w:pPr>
        <w:pStyle w:val="7"/>
        <w:spacing w:after="0" w:line="480" w:lineRule="auto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</w:p>
    <w:p w14:paraId="5365EBAC">
      <w:pPr>
        <w:pStyle w:val="7"/>
        <w:spacing w:after="0" w:line="48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15F4B5CD">
      <w:pPr>
        <w:pStyle w:val="7"/>
        <w:spacing w:after="0" w:line="48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:1.</w:t>
      </w:r>
      <w:r>
        <w:rPr>
          <w:rFonts w:hint="eastAsia" w:ascii="仿宋" w:hAnsi="仿宋" w:eastAsia="仿宋" w:cs="仿宋"/>
          <w:sz w:val="32"/>
          <w:szCs w:val="32"/>
        </w:rPr>
        <w:t>会议酒店线路图</w:t>
      </w:r>
    </w:p>
    <w:p w14:paraId="4577E0F6">
      <w:pPr>
        <w:pStyle w:val="7"/>
        <w:spacing w:after="0" w:line="480" w:lineRule="auto"/>
        <w:ind w:left="0" w:leftChars="0" w:firstLine="64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参会回执</w:t>
      </w:r>
    </w:p>
    <w:p w14:paraId="023F3428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581375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山东省健康促进与教育学会</w:t>
      </w:r>
    </w:p>
    <w:p w14:paraId="726B41A3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2025年8月21日</w:t>
      </w:r>
    </w:p>
    <w:p w14:paraId="167608F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224" w:lineRule="auto"/>
        <w:ind w:left="4"/>
        <w:rPr>
          <w:rFonts w:hint="eastAsia" w:ascii="黑体" w:hAnsi="黑体" w:eastAsia="黑体" w:cs="黑体"/>
          <w:b w:val="0"/>
          <w:bCs w:val="0"/>
          <w:sz w:val="29"/>
          <w:szCs w:val="29"/>
          <w:lang w:eastAsia="zh-CN"/>
        </w:rPr>
      </w:pPr>
      <w:r>
        <w:rPr>
          <w:rFonts w:ascii="黑体" w:hAnsi="黑体" w:eastAsia="黑体" w:cs="黑体"/>
          <w:b w:val="0"/>
          <w:bCs w:val="0"/>
          <w:spacing w:val="24"/>
          <w:sz w:val="29"/>
          <w:szCs w:val="29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4"/>
          <w:sz w:val="29"/>
          <w:szCs w:val="29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</w:p>
    <w:p w14:paraId="38D045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224" w:lineRule="auto"/>
        <w:ind w:left="4"/>
        <w:jc w:val="center"/>
        <w:rPr>
          <w:rFonts w:ascii="黑体" w:hAnsi="黑体" w:eastAsia="黑体" w:cs="黑体"/>
          <w:b/>
          <w:bCs/>
          <w:spacing w:val="24"/>
          <w:sz w:val="36"/>
          <w:szCs w:val="36"/>
        </w:rPr>
      </w:pPr>
      <w:bookmarkStart w:id="0" w:name="OLE_LINK6"/>
      <w:r>
        <w:rPr>
          <w:rFonts w:hint="eastAsia" w:ascii="黑体" w:hAnsi="黑体" w:eastAsia="黑体" w:cs="黑体"/>
          <w:b w:val="0"/>
          <w:bCs w:val="0"/>
          <w:spacing w:val="24"/>
          <w:sz w:val="36"/>
          <w:szCs w:val="36"/>
        </w:rPr>
        <w:t>济南富力凯悦酒店交通路线</w:t>
      </w:r>
      <w:r>
        <w:rPr>
          <w:rFonts w:hint="eastAsia" w:ascii="黑体" w:hAnsi="黑体" w:eastAsia="黑体" w:cs="黑体"/>
          <w:b w:val="0"/>
          <w:bCs w:val="0"/>
          <w:spacing w:val="24"/>
          <w:sz w:val="24"/>
          <w:szCs w:val="24"/>
        </w:rPr>
        <w:t>（参考）</w:t>
      </w:r>
    </w:p>
    <w:bookmarkEnd w:id="0"/>
    <w:p w14:paraId="78692903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9865" cy="3692525"/>
            <wp:effectExtent l="0" t="0" r="6985" b="3175"/>
            <wp:docPr id="1" name="图片 1" descr="a3cedbce767b41bebed61b503f7cc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cedbce767b41bebed61b503f7ccc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308C8"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51785" cy="3204210"/>
            <wp:effectExtent l="0" t="0" r="5715" b="15240"/>
            <wp:docPr id="2" name="图片 2" descr="236699bdeaafab3f55a56f8ab7a365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6699bdeaafab3f55a56f8ab7a365d3"/>
                    <pic:cNvPicPr>
                      <a:picLocks noChangeAspect="1"/>
                    </pic:cNvPicPr>
                  </pic:nvPicPr>
                  <pic:blipFill>
                    <a:blip r:embed="rId8"/>
                    <a:srcRect t="7332" b="2315"/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5EDFF"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706" w:bottom="1361" w:left="1800" w:header="851" w:footer="992" w:gutter="0"/>
          <w:cols w:space="425" w:num="1"/>
          <w:docGrid w:type="lines" w:linePitch="312" w:charSpace="0"/>
        </w:sectPr>
      </w:pPr>
    </w:p>
    <w:p w14:paraId="158A4DD6"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参会回执</w:t>
      </w:r>
    </w:p>
    <w:p w14:paraId="194D55FC">
      <w:pPr>
        <w:pStyle w:val="7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山东省健康促进与教育学会超声诊断健康教育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专委会成立大会报名回执</w:t>
      </w:r>
    </w:p>
    <w:tbl>
      <w:tblPr>
        <w:tblStyle w:val="8"/>
        <w:tblpPr w:leftFromText="180" w:rightFromText="180" w:vertAnchor="text" w:horzAnchor="page" w:tblpX="1386" w:tblpY="258"/>
        <w:tblOverlap w:val="never"/>
        <w:tblW w:w="446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52"/>
        <w:gridCol w:w="1693"/>
        <w:gridCol w:w="2450"/>
        <w:gridCol w:w="2321"/>
        <w:gridCol w:w="2983"/>
        <w:gridCol w:w="1768"/>
      </w:tblGrid>
      <w:tr w14:paraId="0384A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34" w:type="pct"/>
            <w:noWrap w:val="0"/>
            <w:vAlign w:val="center"/>
          </w:tcPr>
          <w:p w14:paraId="1FE3CD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48" w:type="pct"/>
            <w:noWrap w:val="0"/>
            <w:vAlign w:val="center"/>
          </w:tcPr>
          <w:p w14:paraId="30DB95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606" w:type="pct"/>
            <w:noWrap w:val="0"/>
            <w:vAlign w:val="center"/>
          </w:tcPr>
          <w:p w14:paraId="1D635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877" w:type="pct"/>
            <w:noWrap w:val="0"/>
            <w:vAlign w:val="center"/>
          </w:tcPr>
          <w:p w14:paraId="3116EE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职称/职务</w:t>
            </w:r>
          </w:p>
        </w:tc>
        <w:tc>
          <w:tcPr>
            <w:tcW w:w="831" w:type="pct"/>
            <w:noWrap w:val="0"/>
            <w:vAlign w:val="center"/>
          </w:tcPr>
          <w:p w14:paraId="4DC2C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068" w:type="pct"/>
            <w:noWrap w:val="0"/>
            <w:vAlign w:val="center"/>
          </w:tcPr>
          <w:p w14:paraId="243B21C0">
            <w:pPr>
              <w:tabs>
                <w:tab w:val="left" w:pos="579"/>
                <w:tab w:val="center" w:pos="1303"/>
              </w:tabs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33" w:type="pct"/>
            <w:noWrap w:val="0"/>
            <w:vAlign w:val="center"/>
          </w:tcPr>
          <w:p w14:paraId="3A0049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91CB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4" w:type="pct"/>
            <w:noWrap w:val="0"/>
            <w:vAlign w:val="center"/>
          </w:tcPr>
          <w:p w14:paraId="746361D5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48" w:type="pct"/>
            <w:noWrap w:val="0"/>
            <w:vAlign w:val="center"/>
          </w:tcPr>
          <w:p w14:paraId="3A7A2820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06" w:type="pct"/>
            <w:noWrap w:val="0"/>
            <w:vAlign w:val="top"/>
          </w:tcPr>
          <w:p w14:paraId="7A5AF5A4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77" w:type="pct"/>
            <w:noWrap w:val="0"/>
            <w:vAlign w:val="center"/>
          </w:tcPr>
          <w:p w14:paraId="00E63CD9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noWrap w:val="0"/>
            <w:vAlign w:val="center"/>
          </w:tcPr>
          <w:p w14:paraId="7B950A74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68" w:type="pct"/>
            <w:noWrap w:val="0"/>
            <w:vAlign w:val="center"/>
          </w:tcPr>
          <w:p w14:paraId="0799A748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 w14:paraId="7F0D0AF3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7D4ED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4" w:type="pct"/>
            <w:noWrap w:val="0"/>
            <w:vAlign w:val="center"/>
          </w:tcPr>
          <w:p w14:paraId="745A3ABB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48" w:type="pct"/>
            <w:noWrap w:val="0"/>
            <w:vAlign w:val="center"/>
          </w:tcPr>
          <w:p w14:paraId="0244AE0C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06" w:type="pct"/>
            <w:noWrap w:val="0"/>
            <w:vAlign w:val="top"/>
          </w:tcPr>
          <w:p w14:paraId="22318BD5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77" w:type="pct"/>
            <w:noWrap w:val="0"/>
            <w:vAlign w:val="center"/>
          </w:tcPr>
          <w:p w14:paraId="06A92370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noWrap w:val="0"/>
            <w:vAlign w:val="center"/>
          </w:tcPr>
          <w:p w14:paraId="269CBE49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68" w:type="pct"/>
            <w:noWrap w:val="0"/>
            <w:vAlign w:val="center"/>
          </w:tcPr>
          <w:p w14:paraId="29E2F9B0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 w14:paraId="6007DCFB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52DC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4" w:type="pct"/>
            <w:noWrap w:val="0"/>
            <w:vAlign w:val="center"/>
          </w:tcPr>
          <w:p w14:paraId="6A024B01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48" w:type="pct"/>
            <w:noWrap w:val="0"/>
            <w:vAlign w:val="center"/>
          </w:tcPr>
          <w:p w14:paraId="21F804A2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06" w:type="pct"/>
            <w:noWrap w:val="0"/>
            <w:vAlign w:val="top"/>
          </w:tcPr>
          <w:p w14:paraId="746E969C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77" w:type="pct"/>
            <w:noWrap w:val="0"/>
            <w:vAlign w:val="center"/>
          </w:tcPr>
          <w:p w14:paraId="5FC64FD8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noWrap w:val="0"/>
            <w:vAlign w:val="center"/>
          </w:tcPr>
          <w:p w14:paraId="0A6CF964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68" w:type="pct"/>
            <w:noWrap w:val="0"/>
            <w:vAlign w:val="center"/>
          </w:tcPr>
          <w:p w14:paraId="52D52115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33" w:type="pct"/>
            <w:noWrap w:val="0"/>
            <w:vAlign w:val="top"/>
          </w:tcPr>
          <w:p w14:paraId="216009DE"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01D2FBE3">
      <w:pPr>
        <w:bidi w:val="0"/>
        <w:rPr>
          <w:rFonts w:hint="eastAsia"/>
          <w:lang w:val="en-US" w:eastAsia="zh-CN"/>
        </w:rPr>
      </w:pPr>
    </w:p>
    <w:p w14:paraId="3A174578">
      <w:pPr>
        <w:tabs>
          <w:tab w:val="left" w:pos="1036"/>
        </w:tabs>
        <w:bidi w:val="0"/>
        <w:jc w:val="left"/>
        <w:rPr>
          <w:rFonts w:hint="eastAsia" w:ascii="仿宋" w:hAnsi="仿宋" w:eastAsia="仿宋" w:cs="仿宋"/>
          <w:color w:val="auto"/>
          <w:spacing w:val="-4"/>
          <w:sz w:val="32"/>
          <w:szCs w:val="32"/>
          <w:u w:val="none"/>
          <w:lang w:val="en-US" w:eastAsia="zh-CN"/>
        </w:rPr>
      </w:pPr>
    </w:p>
    <w:p w14:paraId="6F254E75">
      <w:pPr>
        <w:tabs>
          <w:tab w:val="left" w:pos="1036"/>
        </w:tabs>
        <w:bidi w:val="0"/>
        <w:jc w:val="left"/>
        <w:rPr>
          <w:rFonts w:hint="eastAsia" w:ascii="仿宋" w:hAnsi="仿宋" w:eastAsia="仿宋" w:cs="仿宋"/>
          <w:color w:val="auto"/>
          <w:spacing w:val="-4"/>
          <w:sz w:val="32"/>
          <w:szCs w:val="32"/>
          <w:u w:val="none"/>
          <w:lang w:val="en-US" w:eastAsia="zh-CN"/>
        </w:rPr>
      </w:pPr>
    </w:p>
    <w:p w14:paraId="1B02F6C7">
      <w:pPr>
        <w:tabs>
          <w:tab w:val="left" w:pos="1036"/>
        </w:tabs>
        <w:bidi w:val="0"/>
        <w:jc w:val="left"/>
        <w:rPr>
          <w:rFonts w:hint="eastAsia" w:ascii="仿宋" w:hAnsi="仿宋" w:eastAsia="仿宋" w:cs="仿宋"/>
          <w:color w:val="auto"/>
          <w:spacing w:val="-4"/>
          <w:sz w:val="32"/>
          <w:szCs w:val="32"/>
          <w:u w:val="none"/>
          <w:lang w:val="en-US" w:eastAsia="zh-CN"/>
        </w:rPr>
      </w:pPr>
    </w:p>
    <w:p w14:paraId="3D5C9A67">
      <w:pPr>
        <w:tabs>
          <w:tab w:val="left" w:pos="1036"/>
        </w:tabs>
        <w:bidi w:val="0"/>
        <w:jc w:val="left"/>
        <w:rPr>
          <w:rFonts w:hint="eastAsia" w:ascii="仿宋" w:hAnsi="仿宋" w:eastAsia="仿宋" w:cs="仿宋"/>
          <w:color w:val="auto"/>
          <w:spacing w:val="-4"/>
          <w:sz w:val="32"/>
          <w:szCs w:val="32"/>
          <w:u w:val="none"/>
          <w:lang w:val="en-US" w:eastAsia="zh-CN"/>
        </w:rPr>
      </w:pPr>
    </w:p>
    <w:p w14:paraId="3287A189">
      <w:pPr>
        <w:tabs>
          <w:tab w:val="left" w:pos="1036"/>
        </w:tabs>
        <w:bidi w:val="0"/>
        <w:jc w:val="left"/>
        <w:rPr>
          <w:rFonts w:hint="eastAsia" w:ascii="仿宋" w:hAnsi="仿宋" w:eastAsia="仿宋" w:cs="仿宋"/>
          <w:color w:val="auto"/>
          <w:spacing w:val="-4"/>
          <w:sz w:val="32"/>
          <w:szCs w:val="32"/>
          <w:u w:val="none"/>
          <w:lang w:val="en-US" w:eastAsia="zh-CN"/>
        </w:rPr>
      </w:pPr>
    </w:p>
    <w:p w14:paraId="493AB484">
      <w:pPr>
        <w:tabs>
          <w:tab w:val="left" w:pos="1036"/>
        </w:tabs>
        <w:bidi w:val="0"/>
        <w:ind w:firstLine="624" w:firstLineChars="200"/>
        <w:jc w:val="left"/>
        <w:rPr>
          <w:rFonts w:hint="eastAsia" w:ascii="仿宋" w:hAnsi="仿宋" w:eastAsia="仿宋" w:cs="仿宋"/>
          <w:color w:val="auto"/>
          <w:spacing w:val="-4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u w:val="none"/>
          <w:lang w:val="en-US" w:eastAsia="zh-CN"/>
        </w:rPr>
        <w:t>注：请2025年9月10日12时前将参会回执发送至邮箱17865571578@163.com</w:t>
      </w:r>
    </w:p>
    <w:sectPr>
      <w:footerReference r:id="rId3" w:type="default"/>
      <w:pgSz w:w="16838" w:h="11906" w:orient="landscape"/>
      <w:pgMar w:top="1180" w:right="851" w:bottom="1800" w:left="5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0AF6B1E-0ADD-45A6-832D-AFCFD511B7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D5CC1D-610E-454A-9844-BB8A6D5E1F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529E48-964B-4240-A3E9-470E32657DF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90EE6E4-E0C8-47CB-A6D7-E1814D6AE0E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02E89">
    <w:pPr>
      <w:pStyle w:val="4"/>
    </w:pP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7"/>
    <w:rsid w:val="000A2020"/>
    <w:rsid w:val="000C7824"/>
    <w:rsid w:val="000F6EE9"/>
    <w:rsid w:val="001133D2"/>
    <w:rsid w:val="001639F8"/>
    <w:rsid w:val="001955D8"/>
    <w:rsid w:val="002576F8"/>
    <w:rsid w:val="002905DE"/>
    <w:rsid w:val="00326E00"/>
    <w:rsid w:val="0035136D"/>
    <w:rsid w:val="0035438A"/>
    <w:rsid w:val="00375E25"/>
    <w:rsid w:val="003B2D10"/>
    <w:rsid w:val="004344D7"/>
    <w:rsid w:val="004A2A3B"/>
    <w:rsid w:val="004B3043"/>
    <w:rsid w:val="0052560D"/>
    <w:rsid w:val="0054053F"/>
    <w:rsid w:val="005E2AEA"/>
    <w:rsid w:val="00731550"/>
    <w:rsid w:val="007B0533"/>
    <w:rsid w:val="0085386C"/>
    <w:rsid w:val="008750BE"/>
    <w:rsid w:val="00875942"/>
    <w:rsid w:val="00A32357"/>
    <w:rsid w:val="00B114EB"/>
    <w:rsid w:val="00B56760"/>
    <w:rsid w:val="00B95793"/>
    <w:rsid w:val="00C63931"/>
    <w:rsid w:val="00CD726E"/>
    <w:rsid w:val="00CF6E67"/>
    <w:rsid w:val="00DB7379"/>
    <w:rsid w:val="00DC34E8"/>
    <w:rsid w:val="00DC7647"/>
    <w:rsid w:val="00DD5E27"/>
    <w:rsid w:val="00E30A29"/>
    <w:rsid w:val="00E77A94"/>
    <w:rsid w:val="092403B3"/>
    <w:rsid w:val="0E3C75E8"/>
    <w:rsid w:val="1D5F0867"/>
    <w:rsid w:val="2142199F"/>
    <w:rsid w:val="2B681F2A"/>
    <w:rsid w:val="366B1DBC"/>
    <w:rsid w:val="38262F51"/>
    <w:rsid w:val="53957DA5"/>
    <w:rsid w:val="57996C36"/>
    <w:rsid w:val="5A262209"/>
    <w:rsid w:val="5AD24421"/>
    <w:rsid w:val="5B893B1E"/>
    <w:rsid w:val="64AC56AF"/>
    <w:rsid w:val="64C47FDF"/>
    <w:rsid w:val="657379A9"/>
    <w:rsid w:val="66255F10"/>
    <w:rsid w:val="66EC6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  <w:rPr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">
    <w:name w:val="_Style 4"/>
    <w:basedOn w:val="3"/>
    <w:next w:val="7"/>
    <w:autoRedefine/>
    <w:unhideWhenUsed/>
    <w:qFormat/>
    <w:uiPriority w:val="99"/>
    <w:pPr>
      <w:spacing w:after="0"/>
      <w:ind w:left="0" w:leftChars="0"/>
    </w:pPr>
    <w:rPr>
      <w:rFonts w:ascii="黑体" w:hAnsi="黑体" w:eastAsia="黑体" w:cs="仿宋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1065</Words>
  <Characters>1242</Characters>
  <Lines>5</Lines>
  <Paragraphs>1</Paragraphs>
  <TotalTime>12</TotalTime>
  <ScaleCrop>false</ScaleCrop>
  <LinksUpToDate>false</LinksUpToDate>
  <CharactersWithSpaces>1290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2025-07-29T13:11:00Z</dcterms:created>
  <dc:creator>Administrator</dc:creator>
  <cp:lastModifiedBy>叽哩咕噜</cp:lastModifiedBy>
  <cp:lastPrinted>2025-08-21T09:45:33Z</cp:lastPrinted>
  <dcterms:modified xsi:type="dcterms:W3CDTF">2025-08-21T09:55:31Z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eyJoZGlkIjoiYjE0MDE1NzI5YWNjYzc2MmM0MzJjNDgzMjE4OTI1NzciLCJ1c2VySWQiOiI0ODQ1ODQzNzcifQ==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9BCF2ED3DEFB40FAADE1041820386CC7_13</vt:lpwstr>
  </property>
</Properties>
</file>